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32AB4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CARTA DI FIRENZE PER LE FORESTE</w:t>
      </w:r>
      <w:r>
        <w:rPr>
          <w:rFonts w:ascii="Times New Roman" w:eastAsia="Times New Roman" w:hAnsi="Times New Roman" w:cs="Times New Roman"/>
          <w:kern w:val="0"/>
        </w:rPr>
        <w:br/>
      </w:r>
      <w:r>
        <w:rPr>
          <w:rFonts w:ascii="Times New Roman" w:hAnsi="Times New Roman"/>
          <w:i/>
          <w:iCs/>
          <w:kern w:val="0"/>
        </w:rPr>
        <w:t>Firenze, Salone dei Cinquecento, 14 ottobre 2026</w:t>
      </w:r>
    </w:p>
    <w:p w14:paraId="2DAA0319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Sezione I— Preambolo</w:t>
      </w:r>
    </w:p>
    <w:p w14:paraId="6E45A966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Non c'è comunità senza foreste.</w:t>
      </w:r>
    </w:p>
    <w:p w14:paraId="0180ADA9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Firenze lo sa da sempre. Le travi delle sue basiliche, i ponteggi della Cupola, i soffitti a cassettoni del Salone dei Cinquecento vennero dai boschi del Casentino e delle altre aree dell'Appennino: discesero l'Arno su zattere di tronchi ed entrarono nella città che stava inventando il Rinascimento.</w:t>
      </w:r>
    </w:p>
    <w:p w14:paraId="4092ECC2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E il bosco non si fermava ai cantieri: entrava nelle case come mobilio e utensile quotidiano, nei focolari come legna per cuocere e scaldare, nell'arte come tavola, pala e cornice, sulle mense con le castagne, i funghi e i tartufi, la selvaggina e il miele, nelle spezierie dei monasteri come rimedio e medicamento. Quella grandezza non nacque soltanto dall'ingegno: nacque anche da un uso sapiente della risorsa naturale e da regole antiche, come quelle con cui i monaci di Camaldoli governarono per secoli le proprie foreste, oggi raccolte nel Codice Forestale Camaldolese, e come gli statuti delle comunità appenniniche e le provvisioni della città che disciplinavano tagli, usi e commerci del legname, con un obiettivo moderno prima della modernità: la perpetuazione della foresta.</w:t>
      </w:r>
    </w:p>
    <w:p w14:paraId="5F91A970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Un tempo quel legame era materiale e visibile: legname, cibo, calore e acqua entravano ogni giorno nella vita della comunità, trasportati da carri, cesti o anfore. Questo legame oggi non si è interrotto, ma si è dematerializzato. La foresta continua a entrare nelle nostre case, nella carta, nei mobili, nelle fibre, negli imballaggi, nel cibo, e a sostenere la nostra vita in forme che non vediamo: ricarica le falde acquifere e depura le acque, protegge il suolo dall'erosione, custodisce la biodiversità, sottrae carbonio all'atmosfera e concorre a mitigare una crisi climatica alimentata soprattutto dai combustibili fossili, offre salute, cultura, ristoro. Ciò che è diventato invisibile rischia di sembrare scontato. Non lo è.</w:t>
      </w:r>
    </w:p>
    <w:p w14:paraId="721E269E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Le foreste italiane coprono oggi più di un terzo del territorio nazionale: sono insieme un'opportunità e una responsabilità, perché offrono servizi e materie prime rinnovabili con cui ridurre il nostro impatto sul pianeta, a condizione di essere vissute, curate e gestite senza comprometterne le potenzialità per le generazioni future. I benefici che le foreste generano non sono una rendita spontanea: crescono, in quantità e in continuità, dove la gestione è consapevole, responsabile e duratura. Chi vive e lavora nelle terre alte produce benefici che si riversano su tutti e, allo stesso tempo, custodisce un patrimonio forestale, e questo lavoro di custodia merita riconoscimento.</w:t>
      </w:r>
    </w:p>
    <w:p w14:paraId="09BC820C" w14:textId="2A6300B4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Per </w:t>
      </w:r>
      <w:r w:rsidR="00240554">
        <w:rPr>
          <w:rFonts w:ascii="Times New Roman" w:hAnsi="Times New Roman"/>
          <w:kern w:val="0"/>
        </w:rPr>
        <w:t>tutto quanto sopra esposto</w:t>
      </w:r>
      <w:r>
        <w:rPr>
          <w:rFonts w:ascii="Times New Roman" w:hAnsi="Times New Roman"/>
          <w:kern w:val="0"/>
        </w:rPr>
        <w:t>, nel venticinquesimo anno dalla fondazione di FSC® Italia, dalla città che fece della foresta la materia del proprio Rinascimento, i firmatari sottoscrivono questa Carta e si impegnano a ricostruire, attraverso le foreste, il patto tra le comunità urbane e le comunità rurali che di quelle foreste sono custodi.</w:t>
      </w:r>
    </w:p>
    <w:p w14:paraId="1FD5C993" w14:textId="77777777" w:rsidR="00670F42" w:rsidRDefault="00670F42">
      <w:pPr>
        <w:spacing w:before="100" w:after="100"/>
        <w:rPr>
          <w:rFonts w:ascii="Times New Roman" w:eastAsia="Times New Roman" w:hAnsi="Times New Roman" w:cs="Times New Roman"/>
          <w:kern w:val="0"/>
        </w:rPr>
      </w:pPr>
    </w:p>
    <w:p w14:paraId="67A2BD41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 xml:space="preserve">Sezione II – Principi </w:t>
      </w:r>
    </w:p>
    <w:p w14:paraId="694350EF" w14:textId="3E4FEA7D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Riconoscimento.</w:t>
      </w:r>
      <w:r>
        <w:rPr>
          <w:rFonts w:ascii="Times New Roman" w:hAnsi="Times New Roman"/>
          <w:kern w:val="0"/>
        </w:rPr>
        <w:t xml:space="preserve"> La qualità della vita delle persone, anche nei contesti urbani, dipende anche dalle foreste, </w:t>
      </w:r>
      <w:r w:rsidR="00240554">
        <w:rPr>
          <w:rFonts w:ascii="Times New Roman" w:hAnsi="Times New Roman"/>
          <w:kern w:val="0"/>
        </w:rPr>
        <w:t>dai</w:t>
      </w:r>
      <w:r w:rsidR="00240554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 xml:space="preserve">beni materiali che ne derivano e </w:t>
      </w:r>
      <w:r w:rsidR="00240554">
        <w:rPr>
          <w:rFonts w:ascii="Times New Roman" w:hAnsi="Times New Roman"/>
          <w:kern w:val="0"/>
        </w:rPr>
        <w:t>dai</w:t>
      </w:r>
      <w:r w:rsidR="00240554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>benefici invisibili che generano. Riconoscere questa dipendenza è il primo, concreto atto di responsabilità.</w:t>
      </w:r>
    </w:p>
    <w:p w14:paraId="5684D75C" w14:textId="1AE39381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Interdipendenza.</w:t>
      </w:r>
      <w:r>
        <w:rPr>
          <w:rFonts w:ascii="Times New Roman" w:hAnsi="Times New Roman"/>
          <w:kern w:val="0"/>
        </w:rPr>
        <w:t xml:space="preserve"> Comunità e foreste appartengono a un unico sistema naturale, economico, sociale, culturale </w:t>
      </w:r>
      <w:r w:rsidR="00240554">
        <w:rPr>
          <w:rFonts w:ascii="Times New Roman" w:hAnsi="Times New Roman"/>
          <w:kern w:val="0"/>
        </w:rPr>
        <w:t>e territoriale</w:t>
      </w:r>
      <w:r>
        <w:rPr>
          <w:rFonts w:ascii="Times New Roman" w:hAnsi="Times New Roman"/>
          <w:kern w:val="0"/>
        </w:rPr>
        <w:t>. Il conto ecologico si pareggia soltanto insieme: l'acqua che beviamo, l'aria che respiriamo, il carbonio che emettiamo, i materiali e il cibo che consumiamo trovano origine e rigenerazione nei territori forestali, siano essi vicini o lontani dalle città. Nessuna comunità urbana può raggiungere da sola il proprio equilibrio ambientale: riconoscere questa interdipendenza tra aree urbane, rurali e montane è la premessa per prendersene cura insieme. Le foreste sono il ponte che unisce le comunità delle città a quelle delle aree interne e montane.</w:t>
      </w:r>
    </w:p>
    <w:p w14:paraId="4146CBE6" w14:textId="279E8A64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lastRenderedPageBreak/>
        <w:t>Custodia.</w:t>
      </w:r>
      <w:r>
        <w:rPr>
          <w:rFonts w:ascii="Times New Roman" w:hAnsi="Times New Roman"/>
          <w:kern w:val="0"/>
        </w:rPr>
        <w:t xml:space="preserve"> Chi vive, possiede e gestisce le foreste svolge una funzione di interesse generale, e questa funzione va riconosciuta. Le comunità forestali sono presidio, non retrovia. A questa custodia diretta risponde una corresponsabilità delle comunità urbane: chi riconosce i benefici che riceve dalle foreste non può più dirsene spettatore. Non gestori al posto di chi le abita e le lavora, ma alleati che, nel rispetto dei ruoli, delle responsabilità e dei diritti che la legge assegna, quella cura sostengono, riconoscono e rendono possibile.</w:t>
      </w:r>
    </w:p>
    <w:p w14:paraId="54090A79" w14:textId="082FDF98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Gestione responsabile.</w:t>
      </w:r>
      <w:r>
        <w:rPr>
          <w:rFonts w:ascii="Times New Roman" w:hAnsi="Times New Roman"/>
          <w:kern w:val="0"/>
        </w:rPr>
        <w:t xml:space="preserve"> La tutela della foresta passa da una gestione </w:t>
      </w:r>
      <w:r w:rsidR="00240554">
        <w:rPr>
          <w:rFonts w:ascii="Times New Roman" w:hAnsi="Times New Roman"/>
          <w:kern w:val="0"/>
        </w:rPr>
        <w:t xml:space="preserve">attiva, </w:t>
      </w:r>
      <w:r>
        <w:rPr>
          <w:rFonts w:ascii="Times New Roman" w:hAnsi="Times New Roman"/>
          <w:kern w:val="0"/>
        </w:rPr>
        <w:t xml:space="preserve">pianificata e verificabile, che può comprendere anche la scelta consapevole di lasciare spazi </w:t>
      </w:r>
      <w:r w:rsidR="00240554">
        <w:rPr>
          <w:rFonts w:ascii="Times New Roman" w:hAnsi="Times New Roman"/>
          <w:kern w:val="0"/>
        </w:rPr>
        <w:t>orientati alla conservazione</w:t>
      </w:r>
      <w:r>
        <w:rPr>
          <w:rFonts w:ascii="Times New Roman" w:hAnsi="Times New Roman"/>
          <w:kern w:val="0"/>
        </w:rPr>
        <w:t>, secondo standard riconosciuti e indipendenti. L'obiettivo, oggi come negli antichi statuti, è la perpetuazione della risorsa.</w:t>
      </w:r>
    </w:p>
    <w:p w14:paraId="79E3AE94" w14:textId="25F23B7A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Benefici ecosistemici.</w:t>
      </w:r>
      <w:r>
        <w:rPr>
          <w:rFonts w:ascii="Times New Roman" w:hAnsi="Times New Roman"/>
          <w:kern w:val="0"/>
        </w:rPr>
        <w:t xml:space="preserve"> Acqua, </w:t>
      </w:r>
      <w:r w:rsidR="00240554">
        <w:rPr>
          <w:rFonts w:ascii="Times New Roman" w:hAnsi="Times New Roman"/>
          <w:kern w:val="0"/>
        </w:rPr>
        <w:t xml:space="preserve">aria, </w:t>
      </w:r>
      <w:r>
        <w:rPr>
          <w:rFonts w:ascii="Times New Roman" w:hAnsi="Times New Roman"/>
          <w:kern w:val="0"/>
        </w:rPr>
        <w:t>suolo, biodiversità, carbonio, paesaggio, salute e cultura sono benefici reali che vanno quantificati, verificati e riconosciuti con strumenti credibili, senza semplificazioni né scorciatoie.</w:t>
      </w:r>
    </w:p>
    <w:p w14:paraId="2EAD4FD0" w14:textId="2FA185B7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Filiere responsabili.</w:t>
      </w:r>
      <w:r>
        <w:rPr>
          <w:rFonts w:ascii="Times New Roman" w:hAnsi="Times New Roman"/>
          <w:kern w:val="0"/>
        </w:rPr>
        <w:t xml:space="preserve"> Il legno e i prodotti forestali di provenienza certificata sono materiali della decarbonizzazione: usarli significa costruire con la foresta, non contro di essa.</w:t>
      </w:r>
    </w:p>
    <w:p w14:paraId="49DBB58E" w14:textId="77777777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Conoscenza.</w:t>
      </w:r>
      <w:r>
        <w:rPr>
          <w:rFonts w:ascii="Times New Roman" w:hAnsi="Times New Roman"/>
          <w:kern w:val="0"/>
        </w:rPr>
        <w:t xml:space="preserve"> La ricerca, l'università e i saperi delle comunità locali sono il fondamento delle decisioni sul patrimonio forestale.</w:t>
      </w:r>
    </w:p>
    <w:p w14:paraId="0CD0DE02" w14:textId="77777777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Cultura.</w:t>
      </w:r>
      <w:r>
        <w:rPr>
          <w:rFonts w:ascii="Times New Roman" w:hAnsi="Times New Roman"/>
          <w:kern w:val="0"/>
        </w:rPr>
        <w:t xml:space="preserve"> La foresta è un dispositivo culturale: tiene insieme territorio, economia, identità e bellezza. La sua narrazione, e quella dei benefici che una gestione responsabile sa generare, è parte della sua tutela.</w:t>
      </w:r>
    </w:p>
    <w:p w14:paraId="43E1A8E6" w14:textId="77777777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Partecipazione.</w:t>
      </w:r>
      <w:r>
        <w:rPr>
          <w:rFonts w:ascii="Times New Roman" w:hAnsi="Times New Roman"/>
          <w:kern w:val="0"/>
        </w:rPr>
        <w:t xml:space="preserve"> Le persone non sono spettatrici del patto tra le comunità, ma parte attiva: sono consumatori consapevoli, fruitori responsabili, co-custodi.</w:t>
      </w:r>
    </w:p>
    <w:p w14:paraId="431965E8" w14:textId="77777777" w:rsidR="00670F42" w:rsidRDefault="00000000">
      <w:pPr>
        <w:numPr>
          <w:ilvl w:val="0"/>
          <w:numId w:val="2"/>
        </w:numPr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0"/>
        </w:rPr>
        <w:t>Alleanze aperte.</w:t>
      </w:r>
      <w:r>
        <w:rPr>
          <w:rFonts w:ascii="Times New Roman" w:hAnsi="Times New Roman"/>
          <w:kern w:val="0"/>
        </w:rPr>
        <w:t xml:space="preserve"> La buona gestione forestale ha bisogno del contributo di tutti: istituzioni, enti, imprese, associazioni e persone, per costruire un dialogo permanente tra le comunità, attorno alle foreste.</w:t>
      </w:r>
    </w:p>
    <w:p w14:paraId="406753C4" w14:textId="77777777" w:rsidR="00670F42" w:rsidRDefault="00000000">
      <w:pPr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inline distT="0" distB="0" distL="0" distR="0" wp14:anchorId="1D0651E3" wp14:editId="1680368D">
                <wp:extent cx="5943600" cy="1270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 w14:paraId="570561EA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Sezione III — Impegni dei firmatari</w:t>
      </w:r>
    </w:p>
    <w:p w14:paraId="048A3470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I principi della Carta si traducono in impegni differenziati, secondo la natura e la missione di ciascun firmatario. In particolare:</w:t>
      </w:r>
    </w:p>
    <w:p w14:paraId="450A6BC7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Le </w:t>
      </w:r>
      <w:r>
        <w:rPr>
          <w:rFonts w:ascii="Times New Roman" w:hAnsi="Times New Roman"/>
          <w:b/>
          <w:bCs/>
          <w:kern w:val="0"/>
        </w:rPr>
        <w:t>istituzioni pubbliche e territoriali</w:t>
      </w:r>
      <w:r>
        <w:rPr>
          <w:rFonts w:ascii="Times New Roman" w:hAnsi="Times New Roman"/>
          <w:kern w:val="0"/>
        </w:rPr>
        <w:t xml:space="preserve"> si impegnano a integrare il riconoscimento dei benefici ecosistemici forestali nei propri strumenti di pianificazione e, nelle politiche di acquisto, </w:t>
      </w:r>
      <w:proofErr w:type="gramStart"/>
      <w:r>
        <w:rPr>
          <w:rFonts w:ascii="Times New Roman" w:hAnsi="Times New Roman"/>
          <w:kern w:val="0"/>
        </w:rPr>
        <w:t>ad</w:t>
      </w:r>
      <w:proofErr w:type="gramEnd"/>
      <w:r>
        <w:rPr>
          <w:rFonts w:ascii="Times New Roman" w:hAnsi="Times New Roman"/>
          <w:kern w:val="0"/>
        </w:rPr>
        <w:t xml:space="preserve"> adottare criteri di sostenibilità e tracciabilità fondati su certificazioni riconosciute o strumenti equivalenti, nel rispetto delle norme sulla concorrenza e sugli appalti, e a promuovere il rapporto tra aree urbane e territori forestali di riferimento.</w:t>
      </w:r>
    </w:p>
    <w:p w14:paraId="3BD588E2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/>
          <w:b/>
          <w:bCs/>
          <w:kern w:val="0"/>
        </w:rPr>
        <w:t>parchi e le aree protette</w:t>
      </w:r>
      <w:r>
        <w:rPr>
          <w:rFonts w:ascii="Times New Roman" w:hAnsi="Times New Roman"/>
          <w:kern w:val="0"/>
        </w:rPr>
        <w:t xml:space="preserve"> si impegnano a valorizzare la gestione forestale responsabile come strumento di conservazione attiva, anche attraverso piani di gestione orientati agli specifici obiettivi di conservazione, e a fare dei propri territori laboratori di misurazione e riconoscimento dei benefici ecosistemici.</w:t>
      </w:r>
    </w:p>
    <w:p w14:paraId="09F12CE8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Le </w:t>
      </w:r>
      <w:r>
        <w:rPr>
          <w:rFonts w:ascii="Times New Roman" w:hAnsi="Times New Roman"/>
          <w:b/>
          <w:bCs/>
          <w:kern w:val="0"/>
        </w:rPr>
        <w:t>università e gli enti di ricerca</w:t>
      </w:r>
      <w:r>
        <w:rPr>
          <w:rFonts w:ascii="Times New Roman" w:hAnsi="Times New Roman"/>
          <w:kern w:val="0"/>
        </w:rPr>
        <w:t xml:space="preserve"> si impegnano a sviluppare conoscenza, metriche e strumenti di verifica dei benefici ecosistemici, e a formare le competenze necessarie alla gestione responsabile.</w:t>
      </w:r>
    </w:p>
    <w:p w14:paraId="04547BDA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/>
          <w:b/>
          <w:bCs/>
          <w:kern w:val="0"/>
        </w:rPr>
        <w:t>professionisti e gli ordini professionali</w:t>
      </w:r>
      <w:r>
        <w:rPr>
          <w:rFonts w:ascii="Times New Roman" w:hAnsi="Times New Roman"/>
          <w:kern w:val="0"/>
        </w:rPr>
        <w:t xml:space="preserve"> si impegnano a mettere le proprie competenze al servizio della pianificazione e della gestione forestale responsabile, a curarne il costante aggiornamento e a garantire la qualità tecnica delle scelte che riguardano il patrimonio forestale e l'uso circolare dei prodotti che ne derivano.</w:t>
      </w:r>
    </w:p>
    <w:p w14:paraId="38201D2F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Le </w:t>
      </w:r>
      <w:r>
        <w:rPr>
          <w:rFonts w:ascii="Times New Roman" w:hAnsi="Times New Roman"/>
          <w:b/>
          <w:bCs/>
          <w:kern w:val="0"/>
        </w:rPr>
        <w:t>associazioni ambientaliste e culturali</w:t>
      </w:r>
      <w:r>
        <w:rPr>
          <w:rFonts w:ascii="Times New Roman" w:hAnsi="Times New Roman"/>
          <w:kern w:val="0"/>
        </w:rPr>
        <w:t xml:space="preserve"> si impegnano a promuovere una cultura forestale fondata su rigore e verificabilità, contrastando le semplificazioni opportunistiche.</w:t>
      </w:r>
    </w:p>
    <w:p w14:paraId="430C5663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lastRenderedPageBreak/>
        <w:t xml:space="preserve">Le </w:t>
      </w:r>
      <w:r>
        <w:rPr>
          <w:rFonts w:ascii="Times New Roman" w:hAnsi="Times New Roman"/>
          <w:b/>
          <w:bCs/>
          <w:kern w:val="0"/>
        </w:rPr>
        <w:t>imprese delle filiere forestali</w:t>
      </w:r>
      <w:r>
        <w:rPr>
          <w:rFonts w:ascii="Times New Roman" w:hAnsi="Times New Roman"/>
          <w:kern w:val="0"/>
        </w:rPr>
        <w:t xml:space="preserve"> si impegnano alla tracciabilità e alla provenienza responsabile lungo la catena di custodia.</w:t>
      </w:r>
    </w:p>
    <w:p w14:paraId="4B5AE44A" w14:textId="42B90BCA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 xml:space="preserve">Le </w:t>
      </w:r>
      <w:r>
        <w:rPr>
          <w:rFonts w:ascii="Times New Roman" w:hAnsi="Times New Roman"/>
          <w:b/>
          <w:bCs/>
          <w:kern w:val="0"/>
        </w:rPr>
        <w:t>cittadine e i cittadini</w:t>
      </w:r>
      <w:r>
        <w:rPr>
          <w:rFonts w:ascii="Times New Roman" w:hAnsi="Times New Roman"/>
          <w:kern w:val="0"/>
        </w:rPr>
        <w:t xml:space="preserve"> si impegnano a scelte di consumo e fruizione consapevoli.</w:t>
      </w:r>
    </w:p>
    <w:p w14:paraId="78F4B9EE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Sezione IV — Adesione aperta</w:t>
      </w:r>
    </w:p>
    <w:p w14:paraId="5F8DD180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kern w:val="0"/>
        </w:rPr>
        <w:t>La Carta resta aperta alla sottoscrizione. I firmatari saranno raccolti in un registro pubblico custodito da FSC Italia in qualità di promotore, con modalità di adesione semplici (anche digitale) e distinzione tra firmatari fondatori, che sottoscrivono a Palazzo Vecchio, e aderenti successivi.</w:t>
      </w:r>
    </w:p>
    <w:p w14:paraId="5EAB06DF" w14:textId="77777777" w:rsidR="00670F42" w:rsidRDefault="00000000">
      <w:pPr>
        <w:spacing w:before="100" w:after="100"/>
        <w:rPr>
          <w:rFonts w:ascii="Times New Roman" w:eastAsia="Times New Roman" w:hAnsi="Times New Roman" w:cs="Times New Roman"/>
          <w:kern w:val="0"/>
        </w:rPr>
      </w:pPr>
      <w:r>
        <w:rPr>
          <w:rFonts w:ascii="Times New Roman" w:hAnsi="Times New Roman"/>
          <w:b/>
          <w:bCs/>
          <w:kern w:val="0"/>
        </w:rPr>
        <w:t>Sezione V — Seguito</w:t>
      </w:r>
    </w:p>
    <w:p w14:paraId="62337E03" w14:textId="77777777" w:rsidR="00670F42" w:rsidRDefault="00000000">
      <w:pPr>
        <w:spacing w:before="100" w:after="100"/>
      </w:pPr>
      <w:r>
        <w:rPr>
          <w:rFonts w:ascii="Times New Roman" w:hAnsi="Times New Roman"/>
          <w:kern w:val="0"/>
        </w:rPr>
        <w:t xml:space="preserve">I firmatari promuovono occasioni periodiche di confronto per verificare l'attuazione dei principi, condividere esperienze e valorizzare le iniziative coerenti con gli impegni assunti. Il primo appuntamento di verifica si terrà entro dodici mesi dalla sottoscrizione. </w:t>
      </w:r>
    </w:p>
    <w:p w14:paraId="6C763398" w14:textId="77777777" w:rsidR="00670F42" w:rsidRDefault="00000000">
      <w:pPr>
        <w:spacing w:before="100" w:after="100"/>
      </w:pPr>
      <w:r>
        <w:rPr>
          <w:rFonts w:ascii="Times New Roman" w:hAnsi="Times New Roman"/>
          <w:b/>
          <w:bCs/>
          <w:kern w:val="0"/>
        </w:rPr>
        <w:t>Sezione VI — Formula di sottoscrizione</w:t>
      </w:r>
    </w:p>
    <w:p w14:paraId="0DA64DC0" w14:textId="77777777" w:rsidR="00670F42" w:rsidRDefault="00000000">
      <w:pPr>
        <w:spacing w:before="100" w:after="100"/>
      </w:pPr>
      <w:r>
        <w:rPr>
          <w:rFonts w:ascii="Times New Roman" w:hAnsi="Times New Roman"/>
          <w:i/>
          <w:iCs/>
          <w:kern w:val="0"/>
        </w:rPr>
        <w:t>I firmatari adottano la Carta di Firenze per le Foreste, ne fanno propri i principi come orientamento della propria azione e si impegnano a darvi attuazione, nel rispetto dell'ordinamento applicabile, nelle forme caratteristiche della propria natura e missione, mantenendo aperta la sottoscrizione a quanti vorranno aderirvi.</w:t>
      </w:r>
    </w:p>
    <w:p w14:paraId="40017812" w14:textId="77777777" w:rsidR="00670F42" w:rsidRDefault="00000000">
      <w:pPr>
        <w:spacing w:before="100" w:after="100"/>
      </w:pPr>
      <w:r>
        <w:rPr>
          <w:rFonts w:ascii="Times New Roman" w:hAnsi="Times New Roman"/>
          <w:b/>
          <w:bCs/>
          <w:kern w:val="0"/>
        </w:rPr>
        <w:t xml:space="preserve">Nota. </w:t>
      </w:r>
      <w:r>
        <w:rPr>
          <w:rFonts w:ascii="Times New Roman" w:hAnsi="Times New Roman"/>
          <w:kern w:val="0"/>
        </w:rPr>
        <w:t>La formula di sottoscrizione è unica per tutti i firmatari: la differenziazione degli impegni è affidata alla Sezione III, mentre la clausola «nelle forme caratteristiche della propria natura e missione» consente a ciascun soggetto di sottoscrivere senza negoziazioni sul testo, preservando l’unità della Carta.</w:t>
      </w:r>
    </w:p>
    <w:p w14:paraId="136822A8" w14:textId="77777777" w:rsidR="00670F42" w:rsidRDefault="00000000">
      <w:pPr>
        <w:spacing w:before="100" w:after="100"/>
      </w:pPr>
      <w:r>
        <w:rPr>
          <w:rFonts w:ascii="Times New Roman" w:hAnsi="Times New Roman"/>
          <w:kern w:val="0"/>
        </w:rPr>
        <w:t>Firenze, Palazzo Vecchio, 14 ottobre 2026</w:t>
      </w:r>
    </w:p>
    <w:sectPr w:rsidR="00670F42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5F7BE9" w14:textId="77777777" w:rsidR="00B1272D" w:rsidRDefault="00B1272D">
      <w:r>
        <w:separator/>
      </w:r>
    </w:p>
  </w:endnote>
  <w:endnote w:type="continuationSeparator" w:id="0">
    <w:p w14:paraId="18920228" w14:textId="77777777" w:rsidR="00B1272D" w:rsidRDefault="00B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89DF14" w14:textId="77777777" w:rsidR="00670F42" w:rsidRDefault="00670F4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A16A1E" w14:textId="77777777" w:rsidR="00B1272D" w:rsidRDefault="00B1272D">
      <w:r>
        <w:separator/>
      </w:r>
    </w:p>
  </w:footnote>
  <w:footnote w:type="continuationSeparator" w:id="0">
    <w:p w14:paraId="06C69EDF" w14:textId="77777777" w:rsidR="00B1272D" w:rsidRDefault="00B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7DE920" w14:textId="77777777" w:rsidR="00670F42" w:rsidRDefault="00670F42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9A3274"/>
    <w:multiLevelType w:val="hybridMultilevel"/>
    <w:tmpl w:val="6DD067E6"/>
    <w:numStyleLink w:val="Stileimportato1"/>
  </w:abstractNum>
  <w:abstractNum w:abstractNumId="1" w15:restartNumberingAfterBreak="0">
    <w:nsid w:val="63E21E04"/>
    <w:multiLevelType w:val="hybridMultilevel"/>
    <w:tmpl w:val="6DD067E6"/>
    <w:styleLink w:val="Stileimportato1"/>
    <w:lvl w:ilvl="0" w:tplc="6AA230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DC4548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F624E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18F310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A8F6B6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88BD62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3E737E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F0B818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7664DA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02337595">
    <w:abstractNumId w:val="1"/>
  </w:num>
  <w:num w:numId="2" w16cid:durableId="8131786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F42"/>
    <w:rsid w:val="00240554"/>
    <w:rsid w:val="00670F42"/>
    <w:rsid w:val="007674F2"/>
    <w:rsid w:val="00B1272D"/>
    <w:rsid w:val="00E005D7"/>
    <w:rsid w:val="00E6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C3AE1A"/>
  <w15:docId w15:val="{C9595EDD-58DB-1148-B516-B97F43CD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Revisione">
    <w:name w:val="Revision"/>
    <w:hidden/>
    <w:uiPriority w:val="99"/>
    <w:semiHidden/>
    <w:rsid w:val="007674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99e8edaa-a52d-464e-bdf4-63bd3e7087e9}" enabled="1" method="Standard" siteId="{124e69db-ef65-496b-96a9-5d56bec1d2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 Bonanno</cp:lastModifiedBy>
  <cp:revision>3</cp:revision>
  <dcterms:created xsi:type="dcterms:W3CDTF">2026-09-02T15:08:00Z</dcterms:created>
  <dcterms:modified xsi:type="dcterms:W3CDTF">2026-09-02T15:35:00Z</dcterms:modified>
</cp:coreProperties>
</file>